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60" w:after="80"/>
      </w:pPr>
      <w:r>
        <w:rPr>
          <w:rFonts w:ascii="Calibri" w:hAnsi="Calibri" w:eastAsia="Calibri"/>
          <w:b/>
          <w:color w:val="17152B"/>
          <w:sz w:val="50"/>
        </w:rPr>
        <w:t>ТЕХНИЧЕСКОЕ ЗАДАНИЕ</w:t>
      </w:r>
    </w:p>
    <w:p>
      <w:pPr>
        <w:spacing w:after="280"/>
      </w:pPr>
      <w:r>
        <w:rPr>
          <w:rFonts w:ascii="Calibri" w:hAnsi="Calibri" w:eastAsia="Calibri"/>
          <w:b/>
          <w:color w:val="1F4D78"/>
          <w:sz w:val="30"/>
        </w:rPr>
        <w:t>Система управления продажами мероприятий 2026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00"/>
        <w:gridCol w:w="6660"/>
      </w:tblGrid>
      <w:tr>
        <w:trPr>
          <w:cantSplit w:val="true"/>
        </w:trPr>
        <w:tc>
          <w:tcPr>
            <w:tcW w:type="dxa" w:w="27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b/>
                <w:color w:val="17152B"/>
              </w:rPr>
              <w:t>Бизнес-заказчик</w:t>
            </w:r>
          </w:p>
        </w:tc>
        <w:tc>
          <w:tcPr>
            <w:tcW w:type="dxa" w:w="6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</w:rPr>
              <w:t>Руководитель направления продаж мероприятий</w:t>
            </w:r>
          </w:p>
        </w:tc>
      </w:tr>
      <w:tr>
        <w:trPr>
          <w:cantSplit w:val="true"/>
        </w:trPr>
        <w:tc>
          <w:tcPr>
            <w:tcW w:type="dxa" w:w="27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b/>
                <w:color w:val="17152B"/>
              </w:rPr>
              <w:t>Ответственный</w:t>
            </w:r>
          </w:p>
        </w:tc>
        <w:tc>
          <w:tcPr>
            <w:tcW w:type="dxa" w:w="6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</w:rPr>
              <w:t>Криводуд Наталья Юрьевна, руководитель отдела продаж</w:t>
            </w:r>
          </w:p>
        </w:tc>
      </w:tr>
      <w:tr>
        <w:trPr>
          <w:cantSplit w:val="true"/>
        </w:trPr>
        <w:tc>
          <w:tcPr>
            <w:tcW w:type="dxa" w:w="27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b/>
                <w:color w:val="17152B"/>
              </w:rPr>
              <w:t>Контур</w:t>
            </w:r>
          </w:p>
        </w:tc>
        <w:tc>
          <w:tcPr>
            <w:tcW w:type="dxa" w:w="6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</w:rPr>
              <w:t>ParkOps / CRM / управленческие дашборды / мотивация</w:t>
            </w:r>
          </w:p>
        </w:tc>
      </w:tr>
      <w:tr>
        <w:trPr>
          <w:cantSplit w:val="true"/>
        </w:trPr>
        <w:tc>
          <w:tcPr>
            <w:tcW w:type="dxa" w:w="27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b/>
                <w:color w:val="17152B"/>
              </w:rPr>
              <w:t>Статус</w:t>
            </w:r>
          </w:p>
        </w:tc>
        <w:tc>
          <w:tcPr>
            <w:tcW w:type="dxa" w:w="6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</w:rPr>
              <w:t>Проект к постановке и оценке разработки</w:t>
            </w:r>
          </w:p>
        </w:tc>
      </w:tr>
      <w:tr>
        <w:trPr>
          <w:cantSplit w:val="true"/>
        </w:trPr>
        <w:tc>
          <w:tcPr>
            <w:tcW w:type="dxa" w:w="27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b/>
                <w:color w:val="17152B"/>
              </w:rPr>
              <w:t>Версия</w:t>
            </w:r>
          </w:p>
        </w:tc>
        <w:tc>
          <w:tcPr>
            <w:tcW w:type="dxa" w:w="6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</w:rPr>
              <w:t>1.1 от 16 июля 2026</w:t>
            </w:r>
          </w:p>
        </w:tc>
      </w:tr>
    </w:tbl>
    <w:p>
      <w:pPr>
        <w:spacing w:before="240" w:after="200"/>
        <w:ind w:left="173" w:right="173"/>
      </w:pPr>
      <w:r>
        <w:rPr>
          <w:rFonts w:ascii="Calibri" w:hAnsi="Calibri" w:eastAsia="Calibri"/>
          <w:b/>
          <w:color w:val="17152B"/>
          <w:sz w:val="23"/>
        </w:rPr>
        <w:t>Решение должно превратить продажи мероприятий из набора отчетов в ежедневный контур управления: единые цифры, обязательная пайплайн-дисциплина, персональные планы, прогноз выплат и отдельные машины роста B2B и агентского канала.</w:t>
      </w:r>
    </w:p>
    <w:p>
      <w:pPr>
        <w:pStyle w:val="Heading1"/>
      </w:pPr>
      <w:r>
        <w:t>1. Управленческая задача Наталье Криводуд</w:t>
      </w:r>
    </w:p>
    <w:p>
      <w:r>
        <w:t>Возглавить со стороны бизнеса проект пересборки системы управления продажами мероприятий и до 31 августа 2026 года вывести в рабочий режим единый контур планирования, пайплайна, персональных KPI, мотивации и прогноза продаж. Даты являются рекомендуемыми и фиксируются на установочной встрече.</w:t>
      </w:r>
    </w:p>
    <w:p>
      <w:pPr>
        <w:pStyle w:val="Heading2"/>
      </w:pPr>
      <w:r>
        <w:t>Цель</w:t>
      </w:r>
    </w:p>
    <w:p>
      <w:pPr>
        <w:pStyle w:val="ListBullet"/>
      </w:pPr>
      <w:r>
        <w:t>Обеспечить руководителю ежедневный ответ на пять вопросов: где мы относительно плана, что реально закроется, где теряем сделки, кто отвечает за отклонение и какое действие требуется сегодня.</w:t>
      </w:r>
    </w:p>
    <w:p>
      <w:pPr>
        <w:pStyle w:val="ListBullet"/>
      </w:pPr>
      <w:r>
        <w:t>Разделить B2C, B2B/корпоративный и агентский каналы по планам, воронкам, маржинальности и ответственным.</w:t>
      </w:r>
    </w:p>
    <w:p>
      <w:pPr>
        <w:pStyle w:val="ListBullet"/>
      </w:pPr>
      <w:r>
        <w:t>Устранить ручные и противоречивые расчеты мотивации; обеспечить прозрачный прогноз выплаты для каждого сотрудника.</w:t>
      </w:r>
    </w:p>
    <w:p>
      <w:pPr>
        <w:pStyle w:val="ListBullet"/>
      </w:pPr>
      <w:r>
        <w:t>Снизить отмены и просроченные сделки через обязательные поля, SLA, контроль возраста этапов и причины потерь.</w:t>
      </w:r>
    </w:p>
    <w:p>
      <w:pPr>
        <w:pStyle w:val="Heading2"/>
      </w:pPr>
      <w:r>
        <w:t>Результаты, за которые отвечает Наталья</w:t>
      </w:r>
    </w:p>
    <w:p>
      <w:pPr>
        <w:pStyle w:val="ListNumber"/>
        <w:numPr>
          <w:ilvl w:val="0"/>
          <w:numId w:val="10"/>
        </w:numPr>
      </w:pPr>
      <w:r>
        <w:t>Утвержденный словарь показателей, источников и правил расчета.</w:t>
      </w:r>
    </w:p>
    <w:p>
      <w:pPr>
        <w:pStyle w:val="ListNumber"/>
        <w:numPr>
          <w:ilvl w:val="0"/>
          <w:numId w:val="10"/>
        </w:numPr>
      </w:pPr>
      <w:r>
        <w:t>Подписанная схема этапов воронки, SLA и регламент ежедневной/еженедельной работы.</w:t>
      </w:r>
    </w:p>
    <w:p>
      <w:pPr>
        <w:pStyle w:val="ListNumber"/>
        <w:numPr>
          <w:ilvl w:val="0"/>
          <w:numId w:val="10"/>
        </w:numPr>
      </w:pPr>
      <w:r>
        <w:t>Индивидуальные планы и KPI всех сотрудников, включая вакантные и будущие роли.</w:t>
      </w:r>
    </w:p>
    <w:p>
      <w:pPr>
        <w:pStyle w:val="ListNumber"/>
        <w:numPr>
          <w:ilvl w:val="0"/>
          <w:numId w:val="10"/>
        </w:numPr>
      </w:pPr>
      <w:r>
        <w:t>Проверенный на данных мая-июля калькулятор мотивации и прогноз выплат.</w:t>
      </w:r>
    </w:p>
    <w:p>
      <w:pPr>
        <w:pStyle w:val="ListNumber"/>
        <w:numPr>
          <w:ilvl w:val="0"/>
          <w:numId w:val="10"/>
        </w:numPr>
      </w:pPr>
      <w:r>
        <w:t>Отдельные планы роста B2B и московской агентской сети.</w:t>
      </w:r>
    </w:p>
    <w:p>
      <w:pPr>
        <w:pStyle w:val="ListNumber"/>
        <w:numPr>
          <w:ilvl w:val="0"/>
          <w:numId w:val="10"/>
        </w:numPr>
      </w:pPr>
      <w:r>
        <w:t>Проведенная приемка MVP и запуск регулярных управленческих встреч по данным дашбордов.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600"/>
        <w:gridCol w:w="1900"/>
        <w:gridCol w:w="4860"/>
      </w:tblGrid>
      <w:tr>
        <w:trPr>
          <w:tblHeader w:val="true"/>
          <w:cantSplit w:val="true"/>
        </w:trPr>
        <w:tc>
          <w:tcPr>
            <w:tcW w:type="dxa" w:w="26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Контрольная точка</w:t>
            </w:r>
          </w:p>
        </w:tc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Рекомендуемый срок</w:t>
            </w:r>
          </w:p>
        </w:tc>
        <w:tc>
          <w:tcPr>
            <w:tcW w:type="dxa" w:w="48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Результат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Старт проекта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20.07.2026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Назначены владельцы данных и разработки; согласованы определения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Диагностика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24.07.2026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Разобраны отмены, этапы, источники и расхождения расчетов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Фиксация требований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31.07.2026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Подписано ТЗ, планы и персональные KPI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MVP и сверка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10.08.2026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Дашборды и калькулятор проверены на двух закрытых месяцах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Пилот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17.08.2026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Команда работает по новой воронке; собраны замечания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Приемка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31.08.2026</w:t>
            </w:r>
          </w:p>
        </w:tc>
        <w:tc>
          <w:tcPr>
            <w:tcW w:type="dxa" w:w="48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Система введена в регулярное управление</w:t>
            </w:r>
          </w:p>
        </w:tc>
      </w:tr>
    </w:tbl>
    <w:p>
      <w:pPr>
        <w:pStyle w:val="Heading1"/>
      </w:pPr>
      <w:r>
        <w:t>2. Исходная управленческая картина</w:t>
      </w:r>
    </w:p>
    <w:p>
      <w:r>
        <w:t>Срез ParkOps на 16 июля 2026 года и файлов мотивации используется как стартовый baseline, а не как окончательная версия планов.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00"/>
        <w:gridCol w:w="2200"/>
        <w:gridCol w:w="4460"/>
      </w:tblGrid>
      <w:tr>
        <w:trPr>
          <w:tblHeader w:val="true"/>
          <w:cantSplit w:val="true"/>
        </w:trPr>
        <w:tc>
          <w:tcPr>
            <w:tcW w:type="dxa" w:w="27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Показатель</w:t>
            </w:r>
          </w:p>
        </w:tc>
        <w:tc>
          <w:tcPr>
            <w:tcW w:type="dxa" w:w="22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Значение</w:t>
            </w:r>
          </w:p>
        </w:tc>
        <w:tc>
          <w:tcPr>
            <w:tcW w:type="dxa" w:w="44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Управленческий вывод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План продаж 2026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209 млн ₽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Единый план есть, сегментные планы B2C/B2B не настроены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Продано за 2026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56 млн ₽ / 358 сделок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Выполнение 27%; прогноз года 97 млн ₽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B2C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46 млн ₽ / 343 сделки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Основной объем; сегментный план отсутствует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Корпоративный канал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11 млн ₽ / 15 сделок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Высокий средний чек; сегментный план отсутствует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Июль 1-16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5 398 080 ₽ / 50 продаж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 плане месяца 45 млн ₽ темп недостаточен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Взвешенный прогноз июля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14 млн ₽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30,9% плана; до плана требуется 31 млн ₽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Отменено 1-16 июля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239 сделок / 21 575 130 ₽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Приоритет №1: декомпозиция причин отмен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Конверсия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12,7%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Снижение на 10,9% к сравнению в ParkOps</w:t>
            </w:r>
          </w:p>
        </w:tc>
      </w:tr>
      <w:tr>
        <w:trPr>
          <w:cantSplit w:val="true"/>
        </w:trPr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Календарь июля</w:t>
            </w:r>
          </w:p>
        </w:tc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424 события / 32 177 806 ₽</w:t>
            </w:r>
          </w:p>
        </w:tc>
        <w:tc>
          <w:tcPr>
            <w:tcW w:type="dxa" w:w="4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Нужно отделить календарную стоимость от оплаченной выручки</w:t>
            </w:r>
          </w:p>
        </w:tc>
      </w:tr>
    </w:tbl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rPr>
          <w:cantSplit w:val="true"/>
        </w:trPr>
        <w:tc>
          <w:tcPr>
            <w:tcW w:type="dxa" w:w="9360"/>
            <w:shd w:fill="FFF4EE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Calibri" w:hAnsi="Calibri" w:eastAsia="Calibri"/>
                <w:b/>
                <w:color w:val="E85D2A"/>
              </w:rPr>
              <w:t xml:space="preserve">Ключевой риск: </w:t>
            </w:r>
            <w:r>
              <w:rPr>
                <w:rFonts w:ascii="Calibri" w:hAnsi="Calibri" w:eastAsia="Calibri"/>
                <w:color w:val="17152B"/>
              </w:rPr>
              <w:t>сейчас календарь, коммерческий отчет, аналитика продаж и расчет мотивации используют разные сущности и правила. До согласования словаря показателей красивые графики будут воспроизводить расхождения.</w:t>
            </w:r>
          </w:p>
        </w:tc>
      </w:tr>
    </w:tbl>
    <w:p>
      <w:pPr>
        <w:pStyle w:val="Heading1"/>
      </w:pPr>
      <w:r>
        <w:t>3. Объем доработки дашбордов</w:t>
      </w:r>
    </w:p>
    <w:p>
      <w:pPr>
        <w:pStyle w:val="Heading2"/>
      </w:pPr>
      <w:r>
        <w:t>3.1. Единая модель данных</w:t>
      </w:r>
    </w:p>
    <w:p>
      <w:pPr>
        <w:pStyle w:val="ListBullet"/>
      </w:pPr>
      <w:r>
        <w:t>Единица учета: сделка; связанная сущность: мероприятие; денежные сущности: счет, оплата, возврат, прямые затраты и маржа.</w:t>
      </w:r>
    </w:p>
    <w:p>
      <w:pPr>
        <w:pStyle w:val="ListBullet"/>
      </w:pPr>
      <w:r>
        <w:t>Обязательные идентификаторы: ID сделки, ID мероприятия, клиент, сегмент, ответственный, источник, агентство/партнер, дата события.</w:t>
      </w:r>
    </w:p>
    <w:p>
      <w:pPr>
        <w:pStyle w:val="ListBullet"/>
      </w:pPr>
      <w:r>
        <w:t>Обязательные даты: создание, вход на этап, следующее действие, плановое закрытие, оплата, проведение, отмена.</w:t>
      </w:r>
    </w:p>
    <w:p>
      <w:pPr>
        <w:pStyle w:val="ListBullet"/>
      </w:pPr>
      <w:r>
        <w:t>Обязательные суммы: договор, оплачено, возвращено, чистая выручка, прямые затраты, валовая маржа.</w:t>
      </w:r>
    </w:p>
    <w:p>
      <w:pPr>
        <w:pStyle w:val="ListBullet"/>
      </w:pPr>
      <w:r>
        <w:t>История изменений этапа, суммы, вероятности, ответственного и плана должна храниться для аудита прогноза.</w:t>
      </w:r>
    </w:p>
    <w:p>
      <w:pPr>
        <w:pStyle w:val="ListBullet"/>
      </w:pPr>
      <w:r>
        <w:t>Справочник причин потерь и отмен централизован; вариант «другое» требует комментария.</w:t>
      </w:r>
    </w:p>
    <w:p>
      <w:pPr>
        <w:pStyle w:val="Heading2"/>
      </w:pPr>
      <w:r>
        <w:t>3.2. Обязательные экраны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4560"/>
        <w:gridCol w:w="3000"/>
      </w:tblGrid>
      <w:tr>
        <w:trPr>
          <w:tblHeader w:val="true"/>
          <w:cantSplit w:val="true"/>
        </w:trPr>
        <w:tc>
          <w:tcPr>
            <w:tcW w:type="dxa" w:w="18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Экран</w:t>
            </w:r>
          </w:p>
        </w:tc>
        <w:tc>
          <w:tcPr>
            <w:tcW w:type="dxa" w:w="45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Что показывает</w:t>
            </w:r>
          </w:p>
        </w:tc>
        <w:tc>
          <w:tcPr>
            <w:tcW w:type="dxa" w:w="30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Действие руководителя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Сводка РОП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План/факт/прогноз, маржа, конверсия, отмены, coverage, просрочки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Определить отклонение и владельца действия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Пайплайн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Сделки по этапам, вероятностям, возрасту и следующему действию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Провести forecast review и снять блокеры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Продажи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Выручка, маржа, оплаты, средний чек, источники, продукты, сегменты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Перераспределить усилия и бюджет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Личный кабинет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План, факт, прогноз, KPI, бонус, сделки риска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Дать сотруднику понятный план действий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Калькулятор KPI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Факт и прогноз выплаты по версиям правил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Согласовать начисление с финансами/HR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B2B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Аккаунты, встречи, предложения, тендеры, повторные продажи, маржа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Управлять отдельной машиной корпоративных продаж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Агентская сеть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Агентства, статусы, брифы, сделки, активность, комиссия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Развивать партнерский канал и контролировать окупаемость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Качество мероприятий</w:t>
            </w:r>
          </w:p>
        </w:tc>
        <w:tc>
          <w:tcPr>
            <w:tcW w:type="dxa" w:w="45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NPS/CSI, жалобы, чек-листы, срывы, бюджетные отклонения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Связать бонус с качеством исполнения</w:t>
            </w:r>
          </w:p>
        </w:tc>
      </w:tr>
    </w:tbl>
    <w:p>
      <w:pPr>
        <w:pStyle w:val="Heading2"/>
      </w:pPr>
      <w:r>
        <w:t>3.3. Фильтры и детализация</w:t>
      </w:r>
    </w:p>
    <w:p>
      <w:pPr>
        <w:pStyle w:val="ListBullet"/>
      </w:pPr>
      <w:r>
        <w:t>Период: день, неделя, месяц, квартал, год; дата создания сделки, дата оплаты и дата мероприятия переключаются отдельно.</w:t>
      </w:r>
    </w:p>
    <w:p>
      <w:pPr>
        <w:pStyle w:val="ListBullet"/>
      </w:pPr>
      <w:r>
        <w:t>Сегмент, продукт/пакет, источник, менеджер, агентство, этап, статус, площадка, размер чека и маржинальность.</w:t>
      </w:r>
    </w:p>
    <w:p>
      <w:pPr>
        <w:pStyle w:val="ListBullet"/>
      </w:pPr>
      <w:r>
        <w:t>Клик по любому показателю открывает список сделок, из которых он рассчитан; экспорт сохраняет те же фильтры.</w:t>
      </w:r>
    </w:p>
    <w:p>
      <w:pPr>
        <w:pStyle w:val="ListBullet"/>
      </w:pPr>
      <w:r>
        <w:t>Для каждого KPI доступны формула, источник, дата обновления, владелец и допустимое отклонение.</w:t>
      </w:r>
    </w:p>
    <w:p>
      <w:pPr>
        <w:pStyle w:val="Heading1"/>
      </w:pPr>
      <w:r>
        <w:t>4. Пересборка пайплайн-дисциплины</w:t>
      </w:r>
    </w:p>
    <w:p>
      <w:r>
        <w:t>Новая воронка должна быть не перечнем статусов, а системой обязательных доказательств перехода.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900"/>
        <w:gridCol w:w="4480"/>
        <w:gridCol w:w="1100"/>
        <w:gridCol w:w="1880"/>
      </w:tblGrid>
      <w:tr>
        <w:trPr>
          <w:tblHeader w:val="true"/>
          <w:cantSplit w:val="true"/>
        </w:trPr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Этап</w:t>
            </w:r>
          </w:p>
        </w:tc>
        <w:tc>
          <w:tcPr>
            <w:tcW w:type="dxa" w:w="448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Критерий входа/выхода</w:t>
            </w:r>
          </w:p>
        </w:tc>
        <w:tc>
          <w:tcPr>
            <w:tcW w:type="dxa" w:w="11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Вероятность</w:t>
            </w:r>
          </w:p>
        </w:tc>
        <w:tc>
          <w:tcPr>
            <w:tcW w:type="dxa" w:w="188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SLA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Новый запрос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Есть контакт и источник; назначен ответственный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Первый контакт до 15 минут в рабочее время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Квалифицирован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Подтверждены формат, дата, гости, бюджет/диапазон, ЛПР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25%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До 1 рабочего дня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Концепция и расчет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Собраны требования; назначена дата отправки предложения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50%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До 2 рабочих дней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Предложение отправлено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Файл/ссылка и сумма зафиксированы; назначен follow-up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60%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Следующее действие не позднее 2 дней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Переговоры / hold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Есть обратная связь, возражения и дата решения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75%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Обновление не реже 3 дней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Договор / счет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Согласованы условия; счет выставлен; срок оплаты указан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90%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Контроль ежедневно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Оплачено / выиграно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Оплата подтверждена; мероприятие связано со сделкой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100%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Автоматически из платежа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Проведено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Закрыт чек-лист; затраты и NPS внесены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100%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До 2 дней после события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Проиграно / отменено</w:t>
            </w:r>
          </w:p>
        </w:tc>
        <w:tc>
          <w:tcPr>
            <w:tcW w:type="dxa" w:w="44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Указаны причина, конкурент/альтернатива, сумма и комментарий</w:t>
            </w:r>
          </w:p>
        </w:tc>
        <w:tc>
          <w:tcPr>
            <w:tcW w:type="dxa" w:w="11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0%</w:t>
            </w:r>
          </w:p>
        </w:tc>
        <w:tc>
          <w:tcPr>
            <w:tcW w:type="dxa" w:w="188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 момент закрытия</w:t>
            </w:r>
          </w:p>
        </w:tc>
      </w:tr>
    </w:tbl>
    <w:p>
      <w:pPr>
        <w:pStyle w:val="Heading2"/>
      </w:pPr>
      <w:r>
        <w:t>Обязательные правила</w:t>
      </w:r>
    </w:p>
    <w:p>
      <w:pPr>
        <w:pStyle w:val="ListBullet"/>
      </w:pPr>
      <w:r>
        <w:t>Сделка без следующего действия и даты считается неуправляемой и не входит в commit-прогноз.</w:t>
      </w:r>
    </w:p>
    <w:p>
      <w:pPr>
        <w:pStyle w:val="ListBullet"/>
      </w:pPr>
      <w:r>
        <w:t>Вероятность задается этапом; ручное изменение доступно только РОП с комментарием и журналом.</w:t>
      </w:r>
    </w:p>
    <w:p>
      <w:pPr>
        <w:pStyle w:val="ListBullet"/>
      </w:pPr>
      <w:r>
        <w:t>Просрочка следующего действия более 24 часов подсвечивается красным; более 3 рабочих дней вызывает эскалацию РОП.</w:t>
      </w:r>
    </w:p>
    <w:p>
      <w:pPr>
        <w:pStyle w:val="ListBullet"/>
      </w:pPr>
      <w:r>
        <w:t>При смене ответственного сохраняется история; массовое переназначение не обнуляет возраст сделки.</w:t>
      </w:r>
    </w:p>
    <w:p>
      <w:pPr>
        <w:pStyle w:val="ListBullet"/>
      </w:pPr>
      <w:r>
        <w:t>Повторное открытие проигранной сделки создает новую попытку, связанную с исходной, чтобы не искажать конверсию.</w:t>
      </w:r>
    </w:p>
    <w:p>
      <w:pPr>
        <w:pStyle w:val="ListBullet"/>
      </w:pPr>
      <w:r>
        <w:t>Отмена после оплаты учитывается отдельно от проигрыша до оплаты; возврат уменьшает чистую выручку и бонус.</w:t>
      </w:r>
    </w:p>
    <w:p>
      <w:pPr>
        <w:pStyle w:val="Heading2"/>
      </w:pPr>
      <w:r>
        <w:t>Прогнозные категории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600"/>
        <w:gridCol w:w="4700"/>
        <w:gridCol w:w="3060"/>
      </w:tblGrid>
      <w:tr>
        <w:trPr>
          <w:tblHeader w:val="true"/>
          <w:cantSplit w:val="true"/>
        </w:trPr>
        <w:tc>
          <w:tcPr>
            <w:tcW w:type="dxa" w:w="16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Категория</w:t>
            </w:r>
          </w:p>
        </w:tc>
        <w:tc>
          <w:tcPr>
            <w:tcW w:type="dxa" w:w="47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Правило</w:t>
            </w:r>
          </w:p>
        </w:tc>
        <w:tc>
          <w:tcPr>
            <w:tcW w:type="dxa" w:w="30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Использование</w:t>
            </w:r>
          </w:p>
        </w:tc>
      </w:tr>
      <w:tr>
        <w:trPr>
          <w:cantSplit w:val="true"/>
        </w:trPr>
        <w:tc>
          <w:tcPr>
            <w:tcW w:type="dxa" w:w="1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Commit</w:t>
            </w:r>
          </w:p>
        </w:tc>
        <w:tc>
          <w:tcPr>
            <w:tcW w:type="dxa" w:w="4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Оплата/договор в высокой готовности, вероятность 90-100%, нет просрочки</w:t>
            </w:r>
          </w:p>
        </w:tc>
        <w:tc>
          <w:tcPr>
            <w:tcW w:type="dxa" w:w="3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Ожидаемый минимум</w:t>
            </w:r>
          </w:p>
        </w:tc>
      </w:tr>
      <w:tr>
        <w:trPr>
          <w:cantSplit w:val="true"/>
        </w:trPr>
        <w:tc>
          <w:tcPr>
            <w:tcW w:type="dxa" w:w="1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Best case</w:t>
            </w:r>
          </w:p>
        </w:tc>
        <w:tc>
          <w:tcPr>
            <w:tcW w:type="dxa" w:w="4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Вероятность 60-89%, подтвержден ЛПР и дата решения</w:t>
            </w:r>
          </w:p>
        </w:tc>
        <w:tc>
          <w:tcPr>
            <w:tcW w:type="dxa" w:w="3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Реалистичный верхний сценарий</w:t>
            </w:r>
          </w:p>
        </w:tc>
      </w:tr>
      <w:tr>
        <w:trPr>
          <w:cantSplit w:val="true"/>
        </w:trPr>
        <w:tc>
          <w:tcPr>
            <w:tcW w:type="dxa" w:w="1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Pipeline</w:t>
            </w:r>
          </w:p>
        </w:tc>
        <w:tc>
          <w:tcPr>
            <w:tcW w:type="dxa" w:w="4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Вероятность 10-59%, квалификация не завершена полностью</w:t>
            </w:r>
          </w:p>
        </w:tc>
        <w:tc>
          <w:tcPr>
            <w:tcW w:type="dxa" w:w="3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Потенциал и coverage</w:t>
            </w:r>
          </w:p>
        </w:tc>
      </w:tr>
      <w:tr>
        <w:trPr>
          <w:cantSplit w:val="true"/>
        </w:trPr>
        <w:tc>
          <w:tcPr>
            <w:tcW w:type="dxa" w:w="1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At risk</w:t>
            </w:r>
          </w:p>
        </w:tc>
        <w:tc>
          <w:tcPr>
            <w:tcW w:type="dxa" w:w="4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Любая вероятность при просрочке, потере даты/бюджета или негативном сигнале</w:t>
            </w:r>
          </w:p>
        </w:tc>
        <w:tc>
          <w:tcPr>
            <w:tcW w:type="dxa" w:w="3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Список вмешательства РОП</w:t>
            </w:r>
          </w:p>
        </w:tc>
      </w:tr>
    </w:tbl>
    <w:p>
      <w:pPr>
        <w:pStyle w:val="Heading2"/>
      </w:pPr>
      <w:r>
        <w:t>Ритм управления</w:t>
      </w:r>
    </w:p>
    <w:p>
      <w:pPr>
        <w:pStyle w:val="ListBullet"/>
      </w:pPr>
      <w:r>
        <w:t>Ежедневно до 10:00: каждый сотрудник обновляет сумму, этап, следующую активность и прогноз по своим сделкам.</w:t>
      </w:r>
    </w:p>
    <w:p>
      <w:pPr>
        <w:pStyle w:val="ListBullet"/>
      </w:pPr>
      <w:r>
        <w:t>Понедельник: 45-минутный forecast review по commit, best case, рискам и дефициту pipeline.</w:t>
      </w:r>
    </w:p>
    <w:p>
      <w:pPr>
        <w:pStyle w:val="ListBullet"/>
      </w:pPr>
      <w:r>
        <w:t>Среда: разбор конверсии, просрочек и причин потерь по менеджерам и источникам.</w:t>
      </w:r>
    </w:p>
    <w:p>
      <w:pPr>
        <w:pStyle w:val="ListBullet"/>
      </w:pPr>
      <w:r>
        <w:t>Пятница: фиксация прогноза недели, решений и владельцев; снимок сохраняется для оценки точности прогноза.</w:t>
      </w:r>
    </w:p>
    <w:p>
      <w:pPr>
        <w:pStyle w:val="ListBullet"/>
      </w:pPr>
      <w:r>
        <w:t>Ежемесячно: разбор отмен, маржинальности, KPI и корректности начислений до закрытия payroll.</w:t>
      </w:r>
    </w:p>
    <w:p>
      <w:pPr>
        <w:pStyle w:val="Heading2"/>
      </w:pPr>
      <w:r>
        <w:t>4.1. Ролевая модель отдела и границы ответственности</w:t>
      </w:r>
    </w:p>
    <w:p>
      <w:r>
        <w:t>Клиент должен проходить единый маршрут без повторного сбора информации и потери обещаний. У каждой сделки всегда один коммерческий владелец и один операционный владелец после передачи.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700"/>
        <w:gridCol w:w="3000"/>
        <w:gridCol w:w="2300"/>
        <w:gridCol w:w="2360"/>
      </w:tblGrid>
      <w:tr>
        <w:trPr>
          <w:tblHeader w:val="true"/>
          <w:cantSplit w:val="true"/>
        </w:trPr>
        <w:tc>
          <w:tcPr>
            <w:tcW w:type="dxa" w:w="17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Роль</w:t>
            </w:r>
          </w:p>
        </w:tc>
        <w:tc>
          <w:tcPr>
            <w:tcW w:type="dxa" w:w="30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Зона ответственности</w:t>
            </w:r>
          </w:p>
        </w:tc>
        <w:tc>
          <w:tcPr>
            <w:tcW w:type="dxa" w:w="23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Начало / завершение ответственности</w:t>
            </w:r>
          </w:p>
        </w:tc>
        <w:tc>
          <w:tcPr>
            <w:tcW w:type="dxa" w:w="23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Ключевые стандарты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по продажам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Принимает входящий запрос; квалифицирует; подбирает локацию и пакет; ведет коммуникацию, предложение, договор и оплату; фиксирует договоренности и причины отказа.</w:t>
            </w:r>
          </w:p>
        </w:tc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Начало: назначен новый запрос. Завершение: подтверждена оплата и принят handoff менеджером организации.</w:t>
            </w:r>
          </w:p>
        </w:tc>
        <w:tc>
          <w:tcPr>
            <w:tcW w:type="dxa" w:w="23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Ответ ≤15 минут; канал связи и мессенджер зафиксированы; обзорное видео отправлено; next action есть всегда; обещания не выходят за утвержденный каталог услуг.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по организации мероприятия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Организует площадку, фуд-сервис, аниматоров и QR-коды; ведет подготовку; контактирует с заказчиком; встречает, сопровождает и провожает гостей; отвечает за поддержку и инциденты.</w:t>
            </w:r>
          </w:p>
        </w:tc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Начало: оплата подтверждена, бриф принят. Завершение: мероприятие закрыто, фактические данные и обратная связь переданы в CRM.</w:t>
            </w:r>
          </w:p>
        </w:tc>
        <w:tc>
          <w:tcPr>
            <w:tcW w:type="dxa" w:w="23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Подтверждение контакта ≤4 рабочих часов; контроль T-7 и T-1; единая версия брифа; реакция на инцидент ≤5 минут; итоговое сообщение клиенту в день события.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Руководитель отдела продаж</w:t>
            </w:r>
          </w:p>
        </w:tc>
        <w:tc>
          <w:tcPr>
            <w:tcW w:type="dxa" w:w="30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Устанавливает правила, SLA, планы и KPI; распределяет нагрузку; контролирует воронку, качество коммуникации и handoff; согласует исключения и ведет эскалации.</w:t>
            </w:r>
          </w:p>
        </w:tc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Постоянная ответственность за весь контур от входящего запроса до клиентской обратной связи.</w:t>
            </w:r>
          </w:p>
        </w:tc>
        <w:tc>
          <w:tcPr>
            <w:tcW w:type="dxa" w:w="23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Ежедневный контроль просрочек; еженедельный forecast и аудит качества; выборочная проверка переписок и видео; решение эскалаций в день обращения.</w:t>
            </w:r>
          </w:p>
        </w:tc>
      </w:tr>
    </w:tbl>
    <w:p>
      <w:pPr>
        <w:pStyle w:val="Heading2"/>
      </w:pPr>
      <w:r>
        <w:t>4.2. Стандарт первого контакта и выбор оперативного канала</w:t>
      </w:r>
    </w:p>
    <w:p>
      <w:pPr>
        <w:pStyle w:val="ListNumber"/>
        <w:numPr>
          <w:ilvl w:val="0"/>
          <w:numId w:val="11"/>
        </w:numPr>
      </w:pPr>
      <w:r>
        <w:t>Менеджер связывается с клиентом не позднее 15 минут в рабочее время, представляется, подтверждает полученный запрос и согласует продолжительность первого разговора.</w:t>
      </w:r>
    </w:p>
    <w:p>
      <w:pPr>
        <w:pStyle w:val="ListNumber"/>
        <w:numPr>
          <w:ilvl w:val="0"/>
          <w:numId w:val="11"/>
        </w:numPr>
      </w:pPr>
      <w:r>
        <w:t>В ходе первого касания менеджер задает прямой вопрос: «Где вам удобнее оперативно получать материалы и уточнения: звонок, WhatsApp, Telegram или email?» При необходимости отдельно фиксируется удобный мессенджер.</w:t>
      </w:r>
    </w:p>
    <w:p>
      <w:pPr>
        <w:pStyle w:val="ListNumber"/>
        <w:numPr>
          <w:ilvl w:val="0"/>
          <w:numId w:val="11"/>
        </w:numPr>
      </w:pPr>
      <w:r>
        <w:t>В CRM обязательны поля: предпочитаемый канал, мессенджер/контакт, разрешение на сообщения, дата согласования канала, резервный канал и допустимое время связи.</w:t>
      </w:r>
    </w:p>
    <w:p>
      <w:pPr>
        <w:pStyle w:val="ListNumber"/>
        <w:numPr>
          <w:ilvl w:val="0"/>
          <w:numId w:val="11"/>
        </w:numPr>
      </w:pPr>
      <w:r>
        <w:t>После разговора менеджер отправляет в выбранный канал краткое резюме: задача, дата, число гостей, бюджетный диапазон, выбранная/рассматриваемая локация и согласованный следующий шаг.</w:t>
      </w:r>
    </w:p>
    <w:p>
      <w:pPr>
        <w:pStyle w:val="ListNumber"/>
        <w:numPr>
          <w:ilvl w:val="0"/>
          <w:numId w:val="11"/>
        </w:numPr>
      </w:pPr>
      <w:r>
        <w:t>Менеджер не дублирует сообщения во все каналы. Переход в другой канал согласуется с клиентом и фиксируется в CRM; после звонка ключевые договоренности подтверждаются текстом.</w:t>
      </w:r>
    </w:p>
    <w:p>
      <w:pPr>
        <w:pStyle w:val="ListNumber"/>
        <w:numPr>
          <w:ilvl w:val="0"/>
          <w:numId w:val="11"/>
        </w:numPr>
      </w:pPr>
      <w:r>
        <w:t>Голосовые сообщения отправляются только если клиент подтвердил такой формат. Коммуникация ведется с корпоративного аккаунта или номера, история должна быть доступна для контроля и передачи.</w:t>
      </w:r>
    </w:p>
    <w:p>
      <w:pPr>
        <w:pStyle w:val="Heading2"/>
      </w:pPr>
      <w:r>
        <w:t>4.3. Персональное обзорное видео выбранной локации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rPr>
          <w:cantSplit w:val="true"/>
        </w:trPr>
        <w:tc>
          <w:tcPr>
            <w:tcW w:type="dxa" w:w="9360"/>
            <w:shd w:fill="FFF4EE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Calibri" w:hAnsi="Calibri" w:eastAsia="Calibri"/>
                <w:b/>
                <w:color w:val="E85D2A"/>
              </w:rPr>
              <w:t xml:space="preserve">Обязательное действие после первого касания: </w:t>
            </w:r>
            <w:r>
              <w:rPr>
                <w:rFonts w:ascii="Calibri" w:hAnsi="Calibri" w:eastAsia="Calibri"/>
                <w:color w:val="17152B"/>
              </w:rPr>
              <w:t>как только клиент выбрал локацию или сократил выбор до 1-2 локаций, менеджер отправляет в согласованный мессенджер персональное обзорное видео с закадровыми комментариями. Целевой SLA - до 30 минут после выбора; если съемка требует подготовки, менеджер сообщает точное время отправки.</w:t>
            </w:r>
          </w:p>
        </w:tc>
      </w:tr>
    </w:tbl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600"/>
        <w:gridCol w:w="6760"/>
      </w:tblGrid>
      <w:tr>
        <w:trPr>
          <w:tblHeader w:val="true"/>
          <w:cantSplit w:val="true"/>
        </w:trPr>
        <w:tc>
          <w:tcPr>
            <w:tcW w:type="dxa" w:w="26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Элемент видео</w:t>
            </w:r>
          </w:p>
        </w:tc>
        <w:tc>
          <w:tcPr>
            <w:tcW w:type="dxa" w:w="67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Стандарт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Формат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Вертикальное видео 9:16, 60-120 секунд, без тяжелого монтажа; клиент и повод названы в начале.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Содержание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Вход и маршрут; общий вид и зонирование; предполагаемая расстановка; фуд-сервис; место работы аниматоров; точки выдачи/использования QR-кодов; санузлы и гардероб; сценарий на случай погоды или ограничений.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Закадровый комментарий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связывает каждую зону с запросом клиента: количество гостей, возраст, формат, тайминг и особые условия. Не повторяет рекламные формулировки без отношения к запросу.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Завершение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Один конкретный следующий шаг: согласовать пакет, уточнить детали, забронировать слот или назначить просмотр.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Качество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Актуальная локация, понятный звук, достаточный свет, отсутствие посторонних персональных данных и обещаний, не подтвержденных операционной командой.</w:t>
            </w:r>
          </w:p>
        </w:tc>
      </w:tr>
      <w:tr>
        <w:trPr>
          <w:cantSplit w:val="true"/>
        </w:trPr>
        <w:tc>
          <w:tcPr>
            <w:tcW w:type="dxa" w:w="26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Фиксация</w:t>
            </w:r>
          </w:p>
        </w:tc>
        <w:tc>
          <w:tcPr>
            <w:tcW w:type="dxa" w:w="6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Ссылка/файл, локация, дата отправки, версия сценария и реакция клиента сохраняются в карточке сделки.</w:t>
            </w:r>
          </w:p>
        </w:tc>
      </w:tr>
    </w:tbl>
    <w:p>
      <w:pPr>
        <w:pStyle w:val="Heading2"/>
      </w:pPr>
      <w:r>
        <w:t>4.4. Функциональные требования к CRM и автоматизациям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900"/>
        <w:gridCol w:w="4540"/>
        <w:gridCol w:w="2920"/>
      </w:tblGrid>
      <w:tr>
        <w:trPr>
          <w:tblHeader w:val="true"/>
          <w:cantSplit w:val="true"/>
        </w:trPr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Триггер</w:t>
            </w:r>
          </w:p>
        </w:tc>
        <w:tc>
          <w:tcPr>
            <w:tcW w:type="dxa" w:w="454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Автоматическое действие</w:t>
            </w:r>
          </w:p>
        </w:tc>
        <w:tc>
          <w:tcPr>
            <w:tcW w:type="dxa" w:w="292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Контроль / блокировка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Создан входящий запрос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Назначить менеджера; запустить таймер первого ответа; создать задачу связаться.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Просрочка 15 минут подсвечивается и попадает РОП.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Первый контакт состоялся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Открыть обязательные поля канала связи, мессенджера, согласия, краткого брифа и next action.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Нельзя перевести в квалификацию без заполнения.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Выбрана локация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Создать задачу «Отправить обзорное видео» со сроком 30 минут; предложить шаблон сценария и библиотеку актуальных видео.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Без ссылки/файла и даты отправки этап отмечается как нарушение стандарта.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Видео отправлено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Записать канал, время, локацию и шаблон; создать follow-up по реакции клиента.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РОП видит долю отправок в SLA и выборку для аудита качества.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Оплата подтверждена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Создать handoff, назначить организатора, перенести выбранный канал и историю договоренностей, уведомить клиента о новой роли.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Передача заблокирована без оплаченной суммы, финального брифа, обещаний, видео и контактов.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Handoff принят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Создать задачи организатору T-7/T-1, чек-листы площадки, фуд-сервиса, аниматоров и QR-кодов.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Непринятый handoff через 4 рабочих часа эскалируется РОП.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День мероприятия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Открыть мобильный чек-лист, журнал инцидентов и быстрый контакт клиента.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Инцидент без реакции 5 минут эскалируется РОП.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Мероприятие завершено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Создать итоговое сообщение, NPS и задачу sales-менеджеру на повтор/рекомендацию.</w:t>
            </w:r>
          </w:p>
        </w:tc>
        <w:tc>
          <w:tcPr>
            <w:tcW w:type="dxa" w:w="29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Закрытие невозможно без фактического тайминга и отметки о клиентской обратной связи.</w:t>
            </w:r>
          </w:p>
        </w:tc>
      </w:tr>
    </w:tbl>
    <w:p>
      <w:pPr>
        <w:pStyle w:val="Heading2"/>
      </w:pPr>
      <w:r>
        <w:t>4.5. Стандарты передачи клиента и коммуникации</w:t>
      </w:r>
    </w:p>
    <w:p>
      <w:pPr>
        <w:pStyle w:val="ListBullet"/>
      </w:pPr>
      <w:r>
        <w:t>Менеджер продаж представляет организатора клиенту в выбранном мессенджере и остается в переписке до подтверждения, что handoff принят обеими сторонами.</w:t>
      </w:r>
    </w:p>
    <w:p>
      <w:pPr>
        <w:pStyle w:val="ListBullet"/>
      </w:pPr>
      <w:r>
        <w:t>Организатор не просит клиента повторно сообщать данные, которые уже есть в брифе. Уточняются только пробелы, изменения и операционные детали.</w:t>
      </w:r>
    </w:p>
    <w:p>
      <w:pPr>
        <w:pStyle w:val="ListBullet"/>
      </w:pPr>
      <w:r>
        <w:t>Коммерческие изменения, скидки, возвраты и новые обещания согласуются с менеджером продаж и РОП; организатор не меняет цену самостоятельно.</w:t>
      </w:r>
    </w:p>
    <w:p>
      <w:pPr>
        <w:pStyle w:val="ListBullet"/>
      </w:pPr>
      <w:r>
        <w:t>После каждого значимого звонка ответственный отправляет текстовое резюме: что согласовано, что требуется от клиента, кто отвечает и к какой дате.</w:t>
      </w:r>
    </w:p>
    <w:p>
      <w:pPr>
        <w:pStyle w:val="ListBullet"/>
      </w:pPr>
      <w:r>
        <w:t>Чувствительные данные гостей и детей не пересылаются в неутвержденные личные чаты; используются корпоративные аккаунты и разрешенные хранилища.</w:t>
      </w:r>
    </w:p>
    <w:p>
      <w:pPr>
        <w:pStyle w:val="ListBullet"/>
      </w:pPr>
      <w:r>
        <w:t>При конфликте или риске срыва клиент получает проактивное сообщение с фактом, вариантом решения, владельцем и временем следующего обновления.</w:t>
      </w:r>
    </w:p>
    <w:p>
      <w:pPr>
        <w:pStyle w:val="Heading2"/>
      </w:pPr>
      <w:r>
        <w:t>4.6. KPI качества по ролям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900"/>
        <w:gridCol w:w="4760"/>
        <w:gridCol w:w="2700"/>
      </w:tblGrid>
      <w:tr>
        <w:trPr>
          <w:tblHeader w:val="true"/>
          <w:cantSplit w:val="true"/>
        </w:trPr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Роль</w:t>
            </w:r>
          </w:p>
        </w:tc>
        <w:tc>
          <w:tcPr>
            <w:tcW w:type="dxa" w:w="47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Обязательные KPI</w:t>
            </w:r>
          </w:p>
        </w:tc>
        <w:tc>
          <w:tcPr>
            <w:tcW w:type="dxa" w:w="27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Контрольная цель для пилота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по продажам</w:t>
            </w:r>
          </w:p>
        </w:tc>
        <w:tc>
          <w:tcPr>
            <w:tcW w:type="dxa" w:w="4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First response time; заполнение канала/мессенджера; видео отправлено в SLA; квалификация; конверсия в оплату; полнота handoff; причины потерь.</w:t>
            </w:r>
          </w:p>
        </w:tc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≥90% ответов ≤15 минут; ≥95% карточек с каналом; ≥90% видео в SLA; ≥95% handoff без возврата.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по организации</w:t>
            </w:r>
          </w:p>
        </w:tc>
        <w:tc>
          <w:tcPr>
            <w:tcW w:type="dxa" w:w="4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Принятие handoff; выполнение T-7/T-1; готовность площадки/фуд-сервиса/аниматоров/QR; инциденты; соблюдение тайминга; NPS/CSI.</w:t>
            </w:r>
          </w:p>
        </w:tc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≥95% handoff ≤4 часов; 100% чек-листов T-1; реакция на инцидент ≤5 минут; NPS target утверждается после baseline.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РОП</w:t>
            </w:r>
          </w:p>
        </w:tc>
        <w:tc>
          <w:tcPr>
            <w:tcW w:type="dxa" w:w="47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SLA отдела; доля управляемых сделок; конверсия и отмены; качество видео и переписок; handoff без возврата; прогноз; закрытие эскалаций.</w:t>
            </w:r>
          </w:p>
        </w:tc>
        <w:tc>
          <w:tcPr>
            <w:tcW w:type="dxa" w:w="2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Еженедельный аудит не менее 10 сделок и 5 видео; 100% критических эскалаций с владельцем и сроком.</w:t>
            </w:r>
          </w:p>
        </w:tc>
      </w:tr>
    </w:tbl>
    <w:p>
      <w:pPr>
        <w:pStyle w:val="Heading2"/>
      </w:pPr>
      <w:r>
        <w:t>4.7. Критерии приемки ролевого функционала</w:t>
      </w:r>
    </w:p>
    <w:p>
      <w:pPr>
        <w:pStyle w:val="ListNumber"/>
        <w:numPr>
          <w:ilvl w:val="0"/>
          <w:numId w:val="12"/>
        </w:numPr>
      </w:pPr>
      <w:r>
        <w:t>Тестовый лид нельзя перевести в квалификацию без заполненного предпочитаемого канала, мессенджера и next action.</w:t>
      </w:r>
    </w:p>
    <w:p>
      <w:pPr>
        <w:pStyle w:val="ListNumber"/>
        <w:numPr>
          <w:ilvl w:val="0"/>
          <w:numId w:val="12"/>
        </w:numPr>
      </w:pPr>
      <w:r>
        <w:t>Выбор локации автоматически создает задачу на видео; просрочка видна менеджеру и РОП; файл или ссылка сохраняются в сделке.</w:t>
      </w:r>
    </w:p>
    <w:p>
      <w:pPr>
        <w:pStyle w:val="ListNumber"/>
        <w:numPr>
          <w:ilvl w:val="0"/>
          <w:numId w:val="12"/>
        </w:numPr>
      </w:pPr>
      <w:r>
        <w:t>После оплаты handoff создается автоматически и содержит единый бриф, коммерческие обещания, выбранный канал, видео и контакт клиента.</w:t>
      </w:r>
    </w:p>
    <w:p>
      <w:pPr>
        <w:pStyle w:val="ListNumber"/>
        <w:numPr>
          <w:ilvl w:val="0"/>
          <w:numId w:val="12"/>
        </w:numPr>
      </w:pPr>
      <w:r>
        <w:t>Организатор принимает handoff, получает T-7/T-1 и операционные чек-листы; клиент получает представление новой точки контакта в своем мессенджере.</w:t>
      </w:r>
    </w:p>
    <w:p>
      <w:pPr>
        <w:pStyle w:val="ListNumber"/>
        <w:numPr>
          <w:ilvl w:val="0"/>
          <w:numId w:val="12"/>
        </w:numPr>
      </w:pPr>
      <w:r>
        <w:t>Дашборд раскрывает SLA, отправку видео, возвраты handoff, инциденты и KPI до списка конкретных сделок.</w:t>
      </w:r>
    </w:p>
    <w:p>
      <w:pPr>
        <w:pStyle w:val="ListNumber"/>
        <w:numPr>
          <w:ilvl w:val="0"/>
          <w:numId w:val="12"/>
        </w:numPr>
      </w:pPr>
      <w:r>
        <w:t>РОП может выгрузить аудит коммуникации и доказательства соблюдения стандарта по выбранному периоду и сотруднику.</w:t>
      </w:r>
    </w:p>
    <w:p>
      <w:pPr>
        <w:pStyle w:val="Heading1"/>
      </w:pPr>
      <w:r>
        <w:t>5. Проверка расчетов и требования к исправлению</w:t>
      </w:r>
    </w:p>
    <w:p>
      <w:r>
        <w:t>Независимый пересчет выполнен по формулам файла «KPI_май.xlsx». Итоговые суммы мая совпадают с формулами книги, но сама методика содержит противоречия.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900"/>
        <w:gridCol w:w="1900"/>
        <w:gridCol w:w="1900"/>
        <w:gridCol w:w="2660"/>
      </w:tblGrid>
      <w:tr>
        <w:trPr>
          <w:tblHeader w:val="true"/>
          <w:cantSplit w:val="true"/>
        </w:trPr>
        <w:tc>
          <w:tcPr>
            <w:tcW w:type="dxa" w:w="29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Проверка</w:t>
            </w:r>
          </w:p>
        </w:tc>
        <w:tc>
          <w:tcPr>
            <w:tcW w:type="dxa" w:w="19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В книге</w:t>
            </w:r>
          </w:p>
        </w:tc>
        <w:tc>
          <w:tcPr>
            <w:tcW w:type="dxa" w:w="190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Пересчет</w:t>
            </w:r>
          </w:p>
        </w:tc>
        <w:tc>
          <w:tcPr>
            <w:tcW w:type="dxa" w:w="266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Статус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Выручка менеджеров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17 341 295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17 341 295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Процентный бонус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218 212,16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218 212,16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KPI-бонус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29 000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29 000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Общая выплата блока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1 707 212,16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1 707 212,16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Бонус РОП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75 269,74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75 269,74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  <w:tr>
        <w:trPr>
          <w:cantSplit w:val="true"/>
        </w:trPr>
        <w:tc>
          <w:tcPr>
            <w:tcW w:type="dxa" w:w="2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Выплата РОП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245 269,74 ₽</w:t>
            </w:r>
          </w:p>
        </w:tc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245 269,74 ₽</w:t>
            </w:r>
          </w:p>
        </w:tc>
        <w:tc>
          <w:tcPr>
            <w:tcW w:type="dxa" w:w="26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Совпадает</w:t>
            </w:r>
          </w:p>
        </w:tc>
      </w:tr>
    </w:tbl>
    <w:p>
      <w:pPr>
        <w:pStyle w:val="Heading2"/>
      </w:pPr>
      <w:r>
        <w:t>Выявленные ошибки и развилки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550"/>
        <w:gridCol w:w="4410"/>
        <w:gridCol w:w="4400"/>
      </w:tblGrid>
      <w:tr>
        <w:trPr>
          <w:tblHeader w:val="true"/>
          <w:cantSplit w:val="true"/>
        </w:trPr>
        <w:tc>
          <w:tcPr>
            <w:tcW w:type="dxa" w:w="55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№</w:t>
            </w:r>
          </w:p>
        </w:tc>
        <w:tc>
          <w:tcPr>
            <w:tcW w:type="dxa" w:w="441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Проблема</w:t>
            </w:r>
          </w:p>
        </w:tc>
        <w:tc>
          <w:tcPr>
            <w:tcW w:type="dxa" w:w="44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Требуемое решение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Шкала описана как 1-3 / 3-6 / 6-9 млн ₽, формулы используют 1-2 / 2-5 / 5-9 млн ₽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Утвердить единую шкалу и хранить ее в справочнике с датой действия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Ставка третьей ступени указана числом 1,75, то есть 175%, тогда как формулы используют 0,0175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Исправить на 1,75% и добавить тест граничных значений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Для B2C есть порог 1 млн ₽, для B2B и остальных строк его нет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Явно утвердить разные правила по ролям либо унифицировать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4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Организаторам и арт-менеджерам протянут процент с выручки; комментарий требует количество мероприятий и 500 ₽/мероприятие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Заменить формулу на роль-специфический KPI; не использовать общий шаблон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5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Менеджеру по партнерствам также протянута шкала менеджера продаж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Настроить отдельную формулу по марже, новым/активным партнерам и оплаченным сделкам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6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KPI-бонус вводится вручную без расчета и доказательств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Автоматизировать критерии; ручную корректировку разрешить только с основанием и согласованием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7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Лист РОП подписан как ежеквартальный, но расчет и исходные данные выглядят месячными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Зафиксировать период начисления и правило закрытия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8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При 3 999 999 ₽ прибыли бонус РОП равен 0, при 4 000 000 ₽ сразу 40 000 ₽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Подтвердить допустимость порогового скачка либо считать процент только с превышения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9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 базе зарплат 1,46 млн ₽ учтены вакансии; ФОТ сотрудников 2,10 млн ₽ включает другой состав и оклады call-центра 90 тыс. ₽ вместо 80 тыс. ₽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Развести фактический, штатный и плановый ФОТ; синхронизировать справочник должностей/окладов</w:t>
            </w:r>
          </w:p>
        </w:tc>
      </w:tr>
      <w:tr>
        <w:trPr>
          <w:cantSplit w:val="true"/>
        </w:trPr>
        <w:tc>
          <w:tcPr>
            <w:tcW w:type="dxa" w:w="5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10</w:t>
            </w:r>
          </w:p>
        </w:tc>
        <w:tc>
          <w:tcPr>
            <w:tcW w:type="dxa" w:w="44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Расчет основан на выручке, хотя новая концепция мотивации декларирует маржу и качество</w:t>
            </w:r>
          </w:p>
        </w:tc>
        <w:tc>
          <w:tcPr>
            <w:tcW w:type="dxa" w:w="44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Добавить маржу, возвраты, NPS и стоп-факторы до запуска новой схемы</w:t>
            </w:r>
          </w:p>
        </w:tc>
      </w:tr>
    </w:tbl>
    <w:p>
      <w:pPr>
        <w:pStyle w:val="Heading2"/>
      </w:pPr>
      <w:r>
        <w:t>Обязательные автотесты калькулятора</w:t>
      </w:r>
    </w:p>
    <w:p>
      <w:pPr>
        <w:pStyle w:val="ListBullet"/>
      </w:pPr>
      <w:r>
        <w:t>Границы менеджерской шкалы: 999 999; 1 000 000; 2 000 000; 5 000 000; 9 000 000 ₽ и значения на 1 ₽ выше/ниже.</w:t>
      </w:r>
    </w:p>
    <w:p>
      <w:pPr>
        <w:pStyle w:val="ListBullet"/>
      </w:pPr>
      <w:r>
        <w:t>Границы РОП: 3 999 999; 4 000 000; 9 000 000; 12 000 000 ₽ и значения на 1 ₽ выше/ниже.</w:t>
      </w:r>
    </w:p>
    <w:p>
      <w:pPr>
        <w:pStyle w:val="ListBullet"/>
      </w:pPr>
      <w:r>
        <w:t>Нулевая/отрицательная маржа, частичная оплата, возврат, отмена после оплаты, перенос на другой месяц, смена менеджера.</w:t>
      </w:r>
    </w:p>
    <w:p>
      <w:pPr>
        <w:pStyle w:val="ListBullet"/>
      </w:pPr>
      <w:r>
        <w:t>Совпадение суммы личных начислений с итогом ведомости; округление только на финальном шаге до копеек.</w:t>
      </w:r>
    </w:p>
    <w:p>
      <w:pPr>
        <w:pStyle w:val="Heading1"/>
      </w:pPr>
      <w:r>
        <w:t>6. Личные KPI и калькулятор</w:t>
      </w:r>
    </w:p>
    <w:p>
      <w:r>
        <w:t>Для каждого сотрудника создается отдельная карточка с индивидуальным месячным планом. Набор метрик зависит от роли, но формулы и источники едины и версионируются.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50"/>
        <w:gridCol w:w="6610"/>
      </w:tblGrid>
      <w:tr>
        <w:trPr>
          <w:tblHeader w:val="true"/>
          <w:cantSplit w:val="true"/>
        </w:trPr>
        <w:tc>
          <w:tcPr>
            <w:tcW w:type="dxa" w:w="275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Сотрудник / роль</w:t>
            </w:r>
          </w:p>
        </w:tc>
        <w:tc>
          <w:tcPr>
            <w:tcW w:type="dxa" w:w="661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Основные KPI по умолчанию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Наталья Криводуд, РОП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План выручки и маржи отдела; точность прогноза; конверсия; отмены; pipeline coverage; дисциплина CRM; выполнение B2B и агентского roadmap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Кристина Могачёва, старший менеджер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B2B выручка/маржа; новые и повторные клиенты; встречи; предложения; конверсия; forecast; просрочки; средний чек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Татьяна Баландина, B2C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Оплаченная выручка/маржа; конверсия; средний чек; отмены; скорость follow-up; pipeline coverage; NPS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Дмитрий Григорьев, B2C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Оплаченная выручка/маржа; конверсия; средний чек; отмены; скорость follow-up; pipeline coverage; NPS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Людмила Запорожец, B2C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Оплаченная выручка/маржа; конверсия; средний чек; отмены; скорость follow-up; pipeline coverage; NPS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Алексей Чиняев, корпоративные продажи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B2B выручка/маржа; новые аккаунты; встречи с ЛПР; предложения; конверсия; цикл сделки; повторные продажи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Лилия Рамазанова, обращения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Скорость первого ответа; доля обработанных в SLA; квалификация; число переданных SQL; полнота данных; потерянные обращения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Варвара Чугреева, обращения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Скорость первого ответа; доля обработанных в SLA; квалификация; число переданных SQL; полнота данных; потерянные обращения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Максим Сашенко, арт-менеджер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NPS/CSI; качество программы; новые продукты/шоу; выручка и маржа новых шоу; соблюдение сроков; инциденты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Виктория Валикова, арт-менеджер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NPS/CSI; качество программы; новые продукты/шоу; выручка и маржа новых шоу; соблюдение сроков; инциденты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Чермен Гамаонов, организация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Успешно проведенные мероприятия; NPS; жалобы/срывы; чек-лист; бюджетное отклонение; своевременная передача данных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Мария Парехина, организация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Успешно проведенные мероприятия; NPS; жалобы/срывы; чек-лист; бюджетное отклонение; своевременная передача данных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Менеджер агентской сети, TBD</w:t>
            </w:r>
          </w:p>
        </w:tc>
        <w:tc>
          <w:tcPr>
            <w:tcW w:type="dxa" w:w="661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Активные агентства; квалифицированные агентства; брифы; оплаченные сделки; выручка/маржа; активация; повторные продажи; стоимость канала</w:t>
            </w:r>
          </w:p>
        </w:tc>
      </w:tr>
    </w:tbl>
    <w:p>
      <w:pPr>
        <w:pStyle w:val="Heading2"/>
      </w:pPr>
      <w:r>
        <w:t>Функции калькулятора</w:t>
      </w:r>
    </w:p>
    <w:p>
      <w:pPr>
        <w:pStyle w:val="ListBullet"/>
      </w:pPr>
      <w:r>
        <w:t>Показывать факт, прогноз на конец месяца и три сценария: conservative, target, stretch.</w:t>
      </w:r>
    </w:p>
    <w:p>
      <w:pPr>
        <w:pStyle w:val="ListBullet"/>
      </w:pPr>
      <w:r>
        <w:t>Рассчитывать прогноз бонуса из текущего pipeline с учетом вероятности, даты оплаты, маржи и стоп-факторов.</w:t>
      </w:r>
    </w:p>
    <w:p>
      <w:pPr>
        <w:pStyle w:val="ListBullet"/>
      </w:pPr>
      <w:r>
        <w:t>Показывать сотруднику «что нужно сделать до следующей ступени»: сумма/маржа, количество сделок, KPI качества.</w:t>
      </w:r>
    </w:p>
    <w:p>
      <w:pPr>
        <w:pStyle w:val="ListBullet"/>
      </w:pPr>
      <w:r>
        <w:t>Хранить оклад, план, ставки, пороги, веса KPI, максимумы и дату начала действия в настройках, а не в коде формулы.</w:t>
      </w:r>
    </w:p>
    <w:p>
      <w:pPr>
        <w:pStyle w:val="ListBullet"/>
      </w:pPr>
      <w:r>
        <w:t>Фиксировать снимок правил при закрытии месяца; последующее изменение справочника не меняет прошлые начисления.</w:t>
      </w:r>
    </w:p>
    <w:p>
      <w:pPr>
        <w:pStyle w:val="ListBullet"/>
      </w:pPr>
      <w:r>
        <w:t>Давать расшифровку выплаты до уровня сделки/KPI и экспорт ведомости для финансов/HR.</w:t>
      </w:r>
    </w:p>
    <w:p>
      <w:pPr>
        <w:pStyle w:val="ListBullet"/>
      </w:pPr>
      <w:r>
        <w:t>Поддерживать индивидуальные планы на неполный месяц, отпуск, выход нового сотрудника и смену роли.</w:t>
      </w:r>
    </w:p>
    <w:p>
      <w:pPr>
        <w:pStyle w:val="Heading1"/>
      </w:pPr>
      <w:r>
        <w:t>7. Отдельный план роста B2B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rPr>
          <w:cantSplit w:val="true"/>
        </w:trPr>
        <w:tc>
          <w:tcPr>
            <w:tcW w:type="dxa" w:w="9360"/>
            <w:shd w:fill="F2F4F7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Calibri" w:hAnsi="Calibri" w:eastAsia="Calibri"/>
                <w:b/>
                <w:color w:val="236B45"/>
              </w:rPr>
              <w:t xml:space="preserve">Стартовая гипотеза: </w:t>
            </w:r>
            <w:r>
              <w:rPr>
                <w:rFonts w:ascii="Calibri" w:hAnsi="Calibri" w:eastAsia="Calibri"/>
                <w:color w:val="17152B"/>
              </w:rPr>
              <w:t>утвердить один из сценариев 2026 после сверки маржинальности: floor 24 млн ₽, target 30 млн ₽, stretch 36 млн ₽. При факте около 11 млн ₽ на 16 июля это требует еще 13/19/25 млн ₽ до конца года.</w:t>
            </w:r>
          </w:p>
        </w:tc>
      </w:tr>
    </w:tbl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900"/>
        <w:gridCol w:w="4720"/>
        <w:gridCol w:w="2740"/>
      </w:tblGrid>
      <w:tr>
        <w:trPr>
          <w:tblHeader w:val="true"/>
          <w:cantSplit w:val="true"/>
        </w:trPr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Поток</w:t>
            </w:r>
          </w:p>
        </w:tc>
        <w:tc>
          <w:tcPr>
            <w:tcW w:type="dxa" w:w="472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Действия</w:t>
            </w:r>
          </w:p>
        </w:tc>
        <w:tc>
          <w:tcPr>
            <w:tcW w:type="dxa" w:w="274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Показатели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Продукт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Собрать 5-7 корпоративных пакетов с понятной вместимостью, составом, SLA сметы и минимальной маржой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Конверсия пакетов; маржа; средний чек; срок подготовки предложения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Целевые аккаунты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Сформировать ICP и список 150 компаний Москвы; выделить HR, internal communications, marketing, executive assistants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Новые аккаунты; контакты ЛПР; встречи; SQL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Outbound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Еженедельные персональные касания, звонки, письма, LinkedIn/Telegram; сценарии под тип события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Касания; ответы; встречи; предложения; pipeline created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Повторные продажи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Реактивация клиентов 2024-2026; календарь корпоративных поводов; QBR по топ-20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Повторная выручка; retention; доля multi-event клиентов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Тендеры и крупные сделки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Реестр тендеров, квалификация fit/no-fit, стандартный пакет документов, deal desk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Win rate; цикл; маржа; отклонение от прайса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Управление</w:t>
            </w:r>
          </w:p>
        </w:tc>
        <w:tc>
          <w:tcPr>
            <w:tcW w:type="dxa" w:w="4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Отдельный план, воронка и forecast; еженедельный review с Натальей</w:t>
            </w:r>
          </w:p>
        </w:tc>
        <w:tc>
          <w:tcPr>
            <w:tcW w:type="dxa" w:w="27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Coverage минимум 3x к плану; точность прогноза; просрочки</w:t>
            </w:r>
          </w:p>
        </w:tc>
      </w:tr>
    </w:tbl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900"/>
        <w:gridCol w:w="7460"/>
      </w:tblGrid>
      <w:tr>
        <w:trPr>
          <w:tblHeader w:val="true"/>
          <w:cantSplit w:val="true"/>
        </w:trPr>
        <w:tc>
          <w:tcPr>
            <w:tcW w:type="dxa" w:w="19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Период</w:t>
            </w:r>
          </w:p>
        </w:tc>
        <w:tc>
          <w:tcPr>
            <w:tcW w:type="dxa" w:w="74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Результат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Первые 30 дней</w:t>
            </w:r>
          </w:p>
        </w:tc>
        <w:tc>
          <w:tcPr>
            <w:tcW w:type="dxa" w:w="7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Утверждены сегменты и пакеты; 150 target accounts; очищена база; личные планы; pipeline не менее 3x месячного плана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31-60 дней</w:t>
            </w:r>
          </w:p>
        </w:tc>
        <w:tc>
          <w:tcPr>
            <w:tcW w:type="dxa" w:w="7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Запущен outbound; проведены первые встречи; реактивированы бывшие клиенты; сформирован best case на квартал</w:t>
            </w:r>
          </w:p>
        </w:tc>
      </w:tr>
      <w:tr>
        <w:trPr>
          <w:cantSplit w:val="true"/>
        </w:trPr>
        <w:tc>
          <w:tcPr>
            <w:tcW w:type="dxa" w:w="19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61-90 дней</w:t>
            </w:r>
          </w:p>
        </w:tc>
        <w:tc>
          <w:tcPr>
            <w:tcW w:type="dxa" w:w="74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Зафиксированы win/loss паттерны; масштабируются рабочие сегменты; корректируются пакеты, цены и KPI</w:t>
            </w:r>
          </w:p>
        </w:tc>
      </w:tr>
    </w:tbl>
    <w:p>
      <w:pPr>
        <w:pStyle w:val="Heading1"/>
      </w:pPr>
      <w:r>
        <w:t>8. Проект развития московской агентской сети</w:t>
      </w:r>
    </w:p>
    <w:p>
      <w:r>
        <w:t>До назначения отдельного менеджера бизнес-владелец проекта - Наталья Криводуд. Операционный владелец обозначается как TBD и выбирается по итогам двухнедельного пилота/оценки загрузки; персональное назначение не закладывается в систему заранее.</w:t>
      </w:r>
    </w:p>
    <w:p>
      <w:pPr>
        <w:pStyle w:val="Heading2"/>
      </w:pPr>
      <w:r>
        <w:t>Цель и стартовые ориентиры</w:t>
      </w:r>
    </w:p>
    <w:p>
      <w:pPr>
        <w:pStyle w:val="ListBullet"/>
      </w:pPr>
      <w:r>
        <w:t>Создать управляемый канал продаж через московские event-агентства с прозрачной атрибуцией, комиссией и защитой маржи.</w:t>
      </w:r>
    </w:p>
    <w:p>
      <w:pPr>
        <w:pStyle w:val="ListBullet"/>
      </w:pPr>
      <w:r>
        <w:t>Стартовые ориентиры до конца 2026 года для утверждения: база 100 агентств, 40 квалифицированных, 20 подключенных, 10 активных, 15 оплаченных сделок, 10 млн ₽ выручки при согласованной минимальной марже.</w:t>
      </w:r>
    </w:p>
    <w:p>
      <w:pPr>
        <w:pStyle w:val="ListBullet"/>
      </w:pPr>
      <w:r>
        <w:t>Активным считать агентство, которое принесло оплаченный бриф/сделку за последние 90 дней; одно знакомство активностью не считается.</w:t>
      </w:r>
    </w:p>
    <w:p>
      <w:pPr>
        <w:pStyle w:val="Heading2"/>
      </w:pPr>
      <w:r>
        <w:t>Воронка агентства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200"/>
        <w:gridCol w:w="7160"/>
      </w:tblGrid>
      <w:tr>
        <w:trPr>
          <w:tblHeader w:val="true"/>
          <w:cantSplit w:val="true"/>
        </w:trPr>
        <w:tc>
          <w:tcPr>
            <w:tcW w:type="dxa" w:w="22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Этап</w:t>
            </w:r>
          </w:p>
        </w:tc>
        <w:tc>
          <w:tcPr>
            <w:tcW w:type="dxa" w:w="71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Критерий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Целевое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Соответствует ICP: Москва/МО, детские, семейные, корпоративные или массовые мероприятия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Квалифицировано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Есть профиль, объем, тип клиентов, ЛПР и потенциальный формат сотрудничества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Презентация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Проведена встреча/тур; отправлен агентский пакет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Подключено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Согласованы условия, комиссия, правила регистрации лида и SLA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Первый бриф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Получен квалифицированный запрос с датой, бюджетом и клиентом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Активно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Есть оплаченная сделка за 90 дней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Повторное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Вторая и последующая оплаченная сделка</w:t>
            </w:r>
          </w:p>
        </w:tc>
      </w:tr>
      <w:tr>
        <w:trPr>
          <w:cantSplit w:val="true"/>
        </w:trPr>
        <w:tc>
          <w:tcPr>
            <w:tcW w:type="dxa" w:w="22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Спящее/потеряно</w:t>
            </w:r>
          </w:p>
        </w:tc>
        <w:tc>
          <w:tcPr>
            <w:tcW w:type="dxa" w:w="71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Нет активности или указана причина отказа/паузы</w:t>
            </w:r>
          </w:p>
        </w:tc>
      </w:tr>
    </w:tbl>
    <w:p>
      <w:pPr>
        <w:pStyle w:val="Heading2"/>
      </w:pPr>
      <w:r>
        <w:t>План работы менеджера агентской сети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700"/>
        <w:gridCol w:w="4940"/>
        <w:gridCol w:w="2720"/>
      </w:tblGrid>
      <w:tr>
        <w:trPr>
          <w:tblHeader w:val="true"/>
          <w:cantSplit w:val="true"/>
        </w:trPr>
        <w:tc>
          <w:tcPr>
            <w:tcW w:type="dxa" w:w="17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Период</w:t>
            </w:r>
          </w:p>
        </w:tc>
        <w:tc>
          <w:tcPr>
            <w:tcW w:type="dxa" w:w="494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Фокус</w:t>
            </w:r>
          </w:p>
        </w:tc>
        <w:tc>
          <w:tcPr>
            <w:tcW w:type="dxa" w:w="272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Контроль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0-30 дней</w:t>
            </w:r>
          </w:p>
        </w:tc>
        <w:tc>
          <w:tcPr>
            <w:tcW w:type="dxa" w:w="49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ICP, условия, презентация, агентский kit, 100 агентств, 30 первичных контактов, 10 встреч</w:t>
            </w:r>
          </w:p>
        </w:tc>
        <w:tc>
          <w:tcPr>
            <w:tcW w:type="dxa" w:w="2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Список, контакты, встречи, причины отказов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31-60 дней</w:t>
            </w:r>
          </w:p>
        </w:tc>
        <w:tc>
          <w:tcPr>
            <w:tcW w:type="dxa" w:w="49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20 подключений, туры по площадке, первые брифы, совместные предложения</w:t>
            </w:r>
          </w:p>
        </w:tc>
        <w:tc>
          <w:tcPr>
            <w:tcW w:type="dxa" w:w="2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Подключенные, брифы, pipeline, SLA ответа</w:t>
            </w:r>
          </w:p>
        </w:tc>
      </w:tr>
      <w:tr>
        <w:trPr>
          <w:cantSplit w:val="true"/>
        </w:trPr>
        <w:tc>
          <w:tcPr>
            <w:tcW w:type="dxa" w:w="17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61-90 дней</w:t>
            </w:r>
          </w:p>
        </w:tc>
        <w:tc>
          <w:tcPr>
            <w:tcW w:type="dxa" w:w="49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Активация, повторные касания, кейсы, рейтинг партнеров, реферальные механики</w:t>
            </w:r>
          </w:p>
        </w:tc>
        <w:tc>
          <w:tcPr>
            <w:tcW w:type="dxa" w:w="27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Активные агентства, оплаты, маржа, повторные сделки</w:t>
            </w:r>
          </w:p>
        </w:tc>
      </w:tr>
    </w:tbl>
    <w:p>
      <w:pPr>
        <w:pStyle w:val="Heading2"/>
      </w:pPr>
      <w:r>
        <w:t>Требования к дашборду агентской сети</w:t>
      </w:r>
    </w:p>
    <w:p>
      <w:pPr>
        <w:pStyle w:val="ListBullet"/>
      </w:pPr>
      <w:r>
        <w:t>Карточка агентства: контакты, специализация, оборотный потенциал, ответственный, этап, последняя/следующая активность, условия комиссии.</w:t>
      </w:r>
    </w:p>
    <w:p>
      <w:pPr>
        <w:pStyle w:val="ListBullet"/>
      </w:pPr>
      <w:r>
        <w:t>Атрибуция сделки: агентство, конкретный контакт, дата регистрации лида, срок защиты, комиссия, конфликт каналов и решение.</w:t>
      </w:r>
    </w:p>
    <w:p>
      <w:pPr>
        <w:pStyle w:val="ListBullet"/>
      </w:pPr>
      <w:r>
        <w:t>Метрики: число агентств по этапам, активация, брифы, сделки, выручка, маржа после комиссии, средний чек, цикл, повторные продажи.</w:t>
      </w:r>
    </w:p>
    <w:p>
      <w:pPr>
        <w:pStyle w:val="ListBullet"/>
      </w:pPr>
      <w:r>
        <w:t>Рейтинг агентств A/B/C по фактической марже и регулярности; спящие партнеры автоматически попадают в реактивацию.</w:t>
      </w:r>
    </w:p>
    <w:p>
      <w:pPr>
        <w:pStyle w:val="ListBullet"/>
      </w:pPr>
      <w:r>
        <w:t>В калькуляторе менеджера агентской сети учитывать не количество подписанных контактов, а активированные агентства и оплаченные маржинальные сделки.</w:t>
      </w:r>
    </w:p>
    <w:p>
      <w:pPr>
        <w:pStyle w:val="Heading1"/>
      </w:pPr>
      <w:r>
        <w:t>9. Технические и нефункциональные требования</w:t>
      </w:r>
    </w:p>
    <w:p>
      <w:pPr>
        <w:pStyle w:val="ListBullet"/>
      </w:pPr>
      <w:r>
        <w:t>Обновление операционных данных не реже чем каждые 15 минут; финансовые статусы - после подтверждения оплаты/возврата.</w:t>
      </w:r>
    </w:p>
    <w:p>
      <w:pPr>
        <w:pStyle w:val="ListBullet"/>
      </w:pPr>
      <w:r>
        <w:t>Ролевая модель: сотрудник видит свои сделки и KPI; РОП - весь отдел; финансы/HR - расчет выплат; администратор - справочники и версии правил.</w:t>
      </w:r>
    </w:p>
    <w:p>
      <w:pPr>
        <w:pStyle w:val="ListBullet"/>
      </w:pPr>
      <w:r>
        <w:t>История изменений и аудит действий обязательны для этапов, сумм, планов, KPI, ручных корректировок и начислений.</w:t>
      </w:r>
    </w:p>
    <w:p>
      <w:pPr>
        <w:pStyle w:val="ListBullet"/>
      </w:pPr>
      <w:r>
        <w:t>Все суммы отображаются с едиными правилами округления; валюта - ₽; проценты хранятся как доли, но показываются как проценты.</w:t>
      </w:r>
    </w:p>
    <w:p>
      <w:pPr>
        <w:pStyle w:val="ListBullet"/>
      </w:pPr>
      <w:r>
        <w:t>Время загрузки сводки до 3 секунд для типового месячного фильтра; таблицы поддерживают сортировку, поиск и экспорт CSV/XLSX.</w:t>
      </w:r>
    </w:p>
    <w:p>
      <w:pPr>
        <w:pStyle w:val="ListBullet"/>
      </w:pPr>
      <w:r>
        <w:t>Дашборды адаптивны для ноутбука и мобильного просмотра; критические показатели и список действий доступны без горизонтальной прокрутки.</w:t>
      </w:r>
    </w:p>
    <w:p>
      <w:pPr>
        <w:pStyle w:val="ListBullet"/>
      </w:pPr>
      <w:r>
        <w:t>Справочник формул и данных имеет владельца, дату обновления и журнал версий.</w:t>
      </w:r>
    </w:p>
    <w:p>
      <w:pPr>
        <w:pStyle w:val="Heading1"/>
      </w:pPr>
      <w:r>
        <w:t>10. Приемка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00"/>
        <w:gridCol w:w="7060"/>
      </w:tblGrid>
      <w:tr>
        <w:trPr>
          <w:tblHeader w:val="true"/>
          <w:cantSplit w:val="true"/>
        </w:trPr>
        <w:tc>
          <w:tcPr>
            <w:tcW w:type="dxa" w:w="23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Критерий</w:t>
            </w:r>
          </w:p>
        </w:tc>
        <w:tc>
          <w:tcPr>
            <w:tcW w:type="dxa" w:w="706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Условие приемки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Сверка данных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Показатели дашборда совпадают с источниками на тестовом периоде; расхождения объяснены и задокументированы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Формулы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Все граничные автотесты пройдены; нет #REF!, деления на ноль, скрытых ручных коэффициентов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Пайплайн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Нельзя перевести сделку без обязательных полей; просрочки и причины потерь работают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Прогноз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Commit/best case/pipeline воспроизводятся из снимка и доступны в сравнении факт-прогноз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Личные KPI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У каждого действующего сотрудника есть план, факт, прогноз, расшифровка и калькулятор выплаты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B2B и агентства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Раздельные планы, воронки, владельцы, маржа и отчетность; нет смешения с B2C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Аудит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Любая ручная корректировка имеет автора, дату, основание и согласующего</w:t>
            </w:r>
          </w:p>
        </w:tc>
      </w:tr>
      <w:tr>
        <w:trPr>
          <w:cantSplit w:val="true"/>
        </w:trPr>
        <w:tc>
          <w:tcPr>
            <w:tcW w:type="dxa" w:w="23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UAT</w:t>
            </w:r>
          </w:p>
        </w:tc>
        <w:tc>
          <w:tcPr>
            <w:tcW w:type="dxa" w:w="706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Наталья, финансы/HR и минимум по одному представителю B2C, B2B, организации мероприятий подписали протокол</w:t>
            </w:r>
          </w:p>
        </w:tc>
      </w:tr>
    </w:tbl>
    <w:p>
      <w:pPr>
        <w:pStyle w:val="Heading1"/>
      </w:pPr>
      <w:r>
        <w:t>11. Приоритеты реализации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4540"/>
        <w:gridCol w:w="3020"/>
      </w:tblGrid>
      <w:tr>
        <w:trPr>
          <w:tblHeader w:val="true"/>
          <w:cantSplit w:val="true"/>
        </w:trPr>
        <w:tc>
          <w:tcPr>
            <w:tcW w:type="dxa" w:w="180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Этап</w:t>
            </w:r>
          </w:p>
        </w:tc>
        <w:tc>
          <w:tcPr>
            <w:tcW w:type="dxa" w:w="454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Содержание</w:t>
            </w:r>
          </w:p>
        </w:tc>
        <w:tc>
          <w:tcPr>
            <w:tcW w:type="dxa" w:w="3020"/>
            <w:shd w:fill="E8EEF5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7152B"/>
                <w:sz w:val="19"/>
              </w:rPr>
              <w:t>Критерий готовности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P0 - данные и правила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Словарь, справочники, очистка этапов/причин, исправление формул</w:t>
            </w:r>
          </w:p>
        </w:tc>
        <w:tc>
          <w:tcPr>
            <w:tcW w:type="dxa" w:w="30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Один показатель - одно определение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P1 - управление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Сводка РОП, пайплайн, просрочки, forecast, drill-down</w:t>
            </w:r>
          </w:p>
        </w:tc>
        <w:tc>
          <w:tcPr>
            <w:tcW w:type="dxa" w:w="30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Еженедельный review идет из системы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P2 - мотивация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Личные KPI, калькулятор, прогноз выплаты, ведомость</w:t>
            </w:r>
          </w:p>
        </w:tc>
        <w:tc>
          <w:tcPr>
            <w:tcW w:type="dxa" w:w="30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Май-июль пересчитаны без ручных расхождений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P3 - рост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B2B и агентский контуры, сегментные планы, рейтинги</w:t>
            </w:r>
          </w:p>
        </w:tc>
        <w:tc>
          <w:tcPr>
            <w:tcW w:type="dxa" w:w="30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Есть отдельные планы, pipeline и владельцы</w:t>
            </w:r>
          </w:p>
        </w:tc>
      </w:tr>
      <w:tr>
        <w:trPr>
          <w:cantSplit w:val="true"/>
        </w:trPr>
        <w:tc>
          <w:tcPr>
            <w:tcW w:type="dxa" w:w="180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P4 - качество</w:t>
            </w:r>
          </w:p>
        </w:tc>
        <w:tc>
          <w:tcPr>
            <w:tcW w:type="dxa" w:w="454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NPS/CSI, чек-листы, инциденты, маржа после проведения</w:t>
            </w:r>
          </w:p>
        </w:tc>
        <w:tc>
          <w:tcPr>
            <w:tcW w:type="dxa" w:w="3020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rFonts w:ascii="Calibri" w:hAnsi="Calibri" w:eastAsia="Calibri"/>
                <w:color w:val="17152B"/>
                <w:sz w:val="18"/>
              </w:rPr>
              <w:t>Бонус связан с качеством и экономикой события</w:t>
            </w:r>
          </w:p>
        </w:tc>
      </w:tr>
    </w:tbl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rPr>
          <w:cantSplit w:val="true"/>
        </w:trPr>
        <w:tc>
          <w:tcPr>
            <w:tcW w:type="dxa" w:w="9360"/>
            <w:shd w:fill="FFF4EE"/>
            <w:vAlign w:val="center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rFonts w:ascii="Calibri" w:hAnsi="Calibri" w:eastAsia="Calibri"/>
                <w:b/>
                <w:color w:val="E85D2A"/>
              </w:rPr>
              <w:t xml:space="preserve">Решение для старта: </w:t>
            </w:r>
            <w:r>
              <w:rPr>
                <w:rFonts w:ascii="Calibri" w:hAnsi="Calibri" w:eastAsia="Calibri"/>
                <w:color w:val="17152B"/>
              </w:rPr>
              <w:t>утвердить Наталью бизнес-владельцем, зафиксировать P0/P1 как обязательный MVP и не запускать новую мотивацию до закрытия расхождений шкалы, ролей, ФОТ и периода начисления.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152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/>
      <w:jc w:val="right"/>
    </w:pPr>
    <w:r>
      <w:rPr>
        <w:rFonts w:ascii="Calibri" w:hAnsi="Calibri" w:eastAsia="Calibri"/>
        <w:color w:val="5B6470"/>
        <w:sz w:val="17"/>
      </w:rPr>
      <w:t xml:space="preserve">Внутренний документ  |  16.07.2026  |  стр.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Calibri" w:hAnsi="Calibri" w:eastAsia="Calibri"/>
        <w:b/>
        <w:color w:val="5B6470"/>
        <w:sz w:val="17"/>
      </w:rPr>
      <w:t>ПАРК СКАЗКА  |  ПРОЕКТ РАЗВИТИЯ ПРОДАЖ МЕРОПРИЯТИЙ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 w:line="300" w:lineRule="auto"/>
      <w:ind w:left="540" w:hanging="271"/>
      <w:contextualSpacing/>
    </w:pPr>
    <w:rPr>
      <w:rFonts w:ascii="Calibri" w:hAnsi="Calibri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 w:line="300" w:lineRule="auto"/>
      <w:ind w:left="540" w:hanging="271"/>
      <w:contextualSpacing/>
    </w:pPr>
    <w:rPr>
      <w:rFonts w:ascii="Calibri" w:hAnsi="Calibri"/>
      <w:sz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ТЗ: система управления продажами мероприятий 2026</dc:title>
  <dc:subject>Дашборды, пайплайн, роли, клиентские стандарты, KPI, B2B и агентская сеть</dc:subject>
  <dc:creator>Парк Сказка</dc:creator>
  <cp:keywords>продажи мероприятий, ParkOps, CRM, клиентский сервис, обзорное видео, KPI, B2B, агентская сеть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